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国家发展改革委11月份新闻发布会</w:t>
      </w:r>
      <w:r>
        <w:rPr>
          <w:rFonts w:hint="eastAsia" w:ascii="方正小标宋_GBK" w:hAnsi="方正小标宋_GBK" w:eastAsia="方正小标宋_GBK" w:cs="方正小标宋_GBK"/>
          <w:sz w:val="36"/>
          <w:szCs w:val="36"/>
          <w:lang w:eastAsia="zh-CN"/>
        </w:rPr>
        <w:t>文字实录</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Times New Roman" w:hAnsi="Times New Roman" w:eastAsia="方正楷体_GBK" w:cs="Times New Roman"/>
          <w:sz w:val="30"/>
          <w:szCs w:val="30"/>
          <w:lang w:val="en-US" w:eastAsia="zh-CN"/>
        </w:rPr>
      </w:pPr>
      <w:r>
        <w:rPr>
          <w:rFonts w:hint="default" w:ascii="Times New Roman" w:hAnsi="Times New Roman" w:eastAsia="方正楷体_GBK" w:cs="Times New Roman"/>
          <w:sz w:val="30"/>
          <w:szCs w:val="30"/>
          <w:lang w:eastAsia="zh-CN"/>
        </w:rPr>
        <w:t>（</w:t>
      </w:r>
      <w:r>
        <w:rPr>
          <w:rFonts w:hint="default" w:ascii="Times New Roman" w:hAnsi="Times New Roman" w:eastAsia="方正楷体_GBK" w:cs="Times New Roman"/>
          <w:sz w:val="30"/>
          <w:szCs w:val="30"/>
          <w:lang w:val="en-US" w:eastAsia="zh-CN"/>
        </w:rPr>
        <w:t>2020年11月17日）</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各位媒体朋友</w:t>
      </w:r>
      <w:r>
        <w:rPr>
          <w:rFonts w:hint="eastAsia" w:ascii="Times New Roman" w:hAnsi="Times New Roman" w:eastAsia="方正仿宋_GBK" w:cs="方正仿宋_GBK"/>
          <w:sz w:val="30"/>
          <w:szCs w:val="30"/>
          <w:lang w:eastAsia="zh-CN"/>
        </w:rPr>
        <w:t>，</w:t>
      </w:r>
      <w:r>
        <w:rPr>
          <w:rFonts w:hint="eastAsia" w:ascii="Times New Roman" w:hAnsi="Times New Roman" w:eastAsia="方正仿宋_GBK" w:cs="方正仿宋_GBK"/>
          <w:sz w:val="30"/>
          <w:szCs w:val="30"/>
        </w:rPr>
        <w:t>大家上午好！欢迎参加国家发展改革委11月份新闻发布会。下面，先向大家通报五方面情况，之后回答大家关心的问题。</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第一方面，关于电力运行等实物量指标</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从发电量看，10月份，全国规模以上工业发电量同比增长4.6%。其中，水电、风电、太阳能发电同比分别增长25.4%、14.7%、8.1%，火电、核电发电同比分别下降1.5%、0.3%。1—10月，发电量同比增长1.4%，增速持续回升。</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从用电量看，10月份，全国全社会用电量同比增长6.6%，其中，一产、二产、三产和居民生活用电量同比分别增长10.9%、7.7%、3.9%和4%。分地区看，全国29个省（区、市）用电正增长。1—10月，全社会用电量同比增长1.8%。</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从货运量看，10月份，全社会货运量同比增长7.2%，增速较上月加快1.6个百分点，连续6个月正增长。</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第二方面，关于重大项目审批</w:t>
      </w:r>
      <w:bookmarkStart w:id="0" w:name="_GoBack"/>
      <w:bookmarkEnd w:id="0"/>
      <w:r>
        <w:rPr>
          <w:rFonts w:hint="eastAsia" w:ascii="Times New Roman" w:hAnsi="Times New Roman" w:eastAsia="方正仿宋_GBK" w:cs="方正仿宋_GBK"/>
          <w:sz w:val="30"/>
          <w:szCs w:val="30"/>
        </w:rPr>
        <w:t>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今年10月，我委共审批核准固定资产投资项目4个，总投资106亿元，主要集中在交通、能源等领域。</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第三方面，关于价格运行情况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从居民消费价格看，10月份，CPI同比上涨0.5%，涨幅较上月收窄1.2个百分点；CPI环比下跌0.3%，其中食品价格是主要影响因素。受生猪产能持续回升、猪肉供给明显好转影响，10月份猪肉价格出现了自2019年3月份以来的首次同比下降。随着前期强降雨和汛情等极端天气影响消失，鲜菜价格出现了近5个月以来的首次环比下降。汽油、柴油价格环比也分别下降2.3%和2.6%。10月份核心CPI同比上涨0.5%，与上月持平；环比上涨0.1%，为连续三个月环比上升，一定程度上表明居民消费需求正在稳步恢复。</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从生产者价格看，10月份，PPI同比下降2.1%，环比持平。其中，煤炭开采和洗选业、化学原料和化学制品制造业出厂价格环比分别上涨2.1%和1.1%，石油和天然气开采业、石油煤炭及其他燃料加工业出厂价格分别下降4.9%和1.6%，其他行业出厂价格涨跌幅较小。</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第四方面，关于2020年国家物流枢纽建设工作</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近日，国家发展改革委、交通运输部联合印发《关于做好2020年国家物流枢纽建设工作的通知》。共有22个物流枢纽入选2020年国家物流枢纽建设名单，其中东部地区7个、中部地区4个、西部地区9个、东北地区2个，覆盖了《国家物流枢纽布局和建设规划》确定的6种国家物流枢纽类型，为加快构建“通道+枢纽+网络”的现代物流运作体系，促进形成以国内大循环为主体、国内国际双循环相互促进的新发展格局提供了有力支撑。</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通知》强调，相关国家物流枢纽要围绕推动形成新发展格局，支撑“一带一路”建设和京津冀协同发展、长江经济带发展、粤港澳大湾区建设、长三角区域一体化发展、西部陆海新通道等重大战略实施，对内系统整合区域内分散的物流资源，提高区域内、跨区域物流活动规模化组织能力和效率，支撑带动上下游产业集聚发展，推动形成国内统一大市场；对外衔接主要国际物流通道和干线运力，加强与全球重要物流枢纽、能源与原材料产地、制造业基地、贸易中心等的密切联系，为推动构建现代流通体系，保持产业链供应链稳定，促进经济高质量发展提供战略支撑。</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下一步，国家发展改革委将会同有关部门加强对国家物流枢纽运行的动态监测，并进行评估考核。</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第五方面，关于“十四五”规划《纲要》问计求策活动有关情况</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按照党中央、国务院部署要求，国家发展改革委正在牵头编制“十四五”规划《纲要草案》，把《中共中央关于制定国民经济和社会发展第十四个五年规划和二〇三五年远景目标的建议》变成推动经济社会发展的具体蓝图。</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为贯彻落实好习近平总书记关于“十四五”规划编制工作要把加强顶层设计和坚持问计于民统一起来的重要指示精神，进一步集思广益、凝聚共识，切实把社会期盼、群众智慧、专家意见、基层经验充分吸收到“十四五”规划《纲要草案》的编制中，国家发展改革委正在开展“凝思汇智 共谋新局”——“十四五”规划《纲要》问计求策活动，聚焦关系国计民生、社会关注度高的领域，重点征求贯彻落实中央《建议》精神的具体举措，有关意见建议汇总整理后将提供“十四五”规划《纲要草案》编制工作参考。</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本次活动分为线上和线下两个环节。线上在国家发展改革委官网开设了“十四五”规划《纲要》问计求策平台；线下委托全国工商联、全国总工会、全国青联、全国学联、农民日报社、中国国际商会、中国银行业协会、中国中小企业协会、中国互联网协会等9家单位面向有关方面定向征求意见建议，问卷发放量超过4000份。截至11月16日24时，问计求策系统访问量达30.8万次、留言总量超过2.5万条，在此，对社会各界的踊跃参与表示衷心的感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“十四五”规划《纲要》问计求策活动将于11月23日，也就是下周一的上午8时结束，希望各位媒体朋友积极宣传报道，请社会各界积极建言献策，贡献宝贵的意见和建议。</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我先介绍这些。下面，欢迎大家提问。</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红星新闻记者：</w:t>
      </w:r>
      <w:r>
        <w:rPr>
          <w:rFonts w:hint="eastAsia" w:ascii="Times New Roman" w:hAnsi="Times New Roman" w:eastAsia="方正仿宋_GBK" w:cs="方正仿宋_GBK"/>
          <w:sz w:val="30"/>
          <w:szCs w:val="30"/>
        </w:rPr>
        <w:t>“十四五”规划建议提出，要加强城镇老旧小区改造和社区建设。请问，目前城镇老旧小区有哪些突出短板需要重点改造？</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你的提问。城镇老旧小区改造是满足人民群众美好生活需要的重大民生工程和发展工程。我们在调研中发现，由于建设年代较早，很多城镇老旧小区水电气路暖等配套基础设施已达到使用年限或者存在一定安全隐患，排水设施、无障碍、消防、安防等设施不足，养老、托育、停车、便民市场等公共服务设施跟不上，影响了居民基本生活。</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为全面推进城镇老旧小区改造工作，今年7月份，国务院办公厅印发《关于全面推进城镇老旧小区改造工作的指导意见》，《意见》中明确了改造任务、组织实施机制、资金合理共担机制和配套政策等内容，要求合理确定改造内容，各地可因地制宜确定改造内容清单、标准和支持政策。</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按照党中央、国务院部署要求，国家发展改革委结合自身职能，积极安排中央预算内投资，大力支持城镇老旧小区改造配套设施建设。2019—2020年，共安排中央预算内投资793亿元，用于两年改造计划任务。与2019年相比，2020年的城镇老旧小区改造任务比2019年翻了一番，相应的，中央预算内投资安排规模也随之翻番。在城镇老旧小区改造中，中央预算内投资主要支持供水、排水、道路、无障碍等与小区相关的配套基础设施建设，以及养老、托育、停车、便民服务等小区及周边的配套公共服务设施建设。与此同时，将城镇老旧小区改造作为2020年地方政府专项债券的重要投向之一。</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十四五”时期，国家发展改革委将继续发挥好中央预算内投资等政府资金“四两拨千斤”的引导带动作用，有力有序有效全面推进城镇老旧小区改造工作，提升居住品质，推进实施城市更新行动，推进以县城为重要载体的城镇化建设，通过扩大有效投资，带动居民消费，服务以国内大循环为主体、国内国际双循环相互促进的新发展格局，推动实现高质量发展。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中国经济导报记者：</w:t>
      </w:r>
      <w:r>
        <w:rPr>
          <w:rFonts w:hint="eastAsia" w:ascii="Times New Roman" w:hAnsi="Times New Roman" w:eastAsia="方正仿宋_GBK" w:cs="方正仿宋_GBK"/>
          <w:sz w:val="30"/>
          <w:szCs w:val="30"/>
        </w:rPr>
        <w:t>目前已进入供暖季，有分析称今年天然气消费量可能较快增加，请问今年的采暖保供是否会面临较大压力，另外，东北地区采暖用煤情况怎么样？</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你的提问。今年供暖季初期，不少北方地区提前启动供暖，带动天然气消费出现较快增长。11月1日至11日，全国天然气日均供应8.6亿立方米，同比增长14.6%；发电供暖用煤需求也比较旺盛。对此，我委积极协调主要保供企业灵活采取增产增供措施，加强资源统筹平衡，入冬以来保供形势总体平稳有序，用气用煤需求得到较好保障。</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为做好今年采暖季能源保供工作，从11月1日起，我委会同各地区、有关部门和主要保供企业，启动了冬季保供日调度机制，针对今冬以来供需形势变化，进一步加强协调、突出重点，扎实做好保供工作。</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一方面，进一步保障北方地区取暖用气的需要。通过协调国内气田安全高负荷生产，有序采购进口资源，优化储气动用安排，组织“南气北上”，多措并举增加北方地区冬季资源供应。特别是今年供暖季期间，可动用的储气量比去年增加约50亿立方米，在高峰期可以更好地发挥调峰保供作用。总的看，今年供暖季天然气资源是比较充足的，供应是有保障的。</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另一方面，重点做好东北地区取暖用煤的供应保障。在供暖季开始前，我们组织有关方面采取措施，提前落实供暖煤源。自10月20日开始供暖以来运行平稳，重点电厂存煤保持在20天以上水平。下一步，将继续推动国内煤炭企业增产增供，指导督促东北三省多渠道加大煤炭采购力度，加强铁路和港口运力保障，调节电力外送，将电厂存煤保持在合理水平，确保东北地区取暖用煤需要。</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同时，国家发展改革委始终坚持把安全作为保供的前提。近期我们会同有关部门督促各地和主要保供企业，开展冬季保供安全隐患排查整改，及时消除潜在的风险隐患。针对可能出现的持续大范围极寒天气等不确定性因素影响，细化完善应急保供预案，必要时将有序采取需求侧管理措施，切实兜住保障居民生活和取暖用煤用气的底线，保障人民群众安全温暖过冬。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第一财经日报记者：</w:t>
      </w:r>
      <w:r>
        <w:rPr>
          <w:rFonts w:hint="eastAsia" w:ascii="Times New Roman" w:hAnsi="Times New Roman" w:eastAsia="方正仿宋_GBK" w:cs="方正仿宋_GBK"/>
          <w:sz w:val="30"/>
          <w:szCs w:val="30"/>
        </w:rPr>
        <w:t>今年受疫情影响，线下服务消费正在加快向线上拓展，开辟了服务消费新模式，这将对服务消费的回升产生哪些积极作用？</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你的提问，这是一个很好的问题。近年来，我国线上经济快速发展，但相对于实物消费的网上销售来看，服务消费网上销售仍是“短板”，占比不到20%。今年疫情期间，为积极应对新冠肺炎疫情影响，各种在线医疗、智能体育、线上教育等服务消费迎来了新的发展机遇，纷纷“触网”，包括家政服务、洗衣洗鞋、深度保洁、汽车保养等也都可以在线购买，提前预定服务，让我们感受到了孕育其中的新动能新潜力。</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今年“双十一”期间，一些互联网平台企业联合上百万家线下门店资源，提供线上线下同价同质量服务；同时，积极推动线下服务向“数字化”转型，探索新的服务消费模式，不断满足消费者的新需求。</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可以说，线下服务消费的“触网”升级，逐步缩小了“线上”“线下”的体验差距。一方面，线上服务消费的爆发开始加码反哺线下服务消费，将线上流量引致线下，回补了因疫情导致的线下服务消费部分“欠账”；另一方面，线上服务消费使消费者的生活更加网络化、数字化，也倒逼本地服务生活领域的供给端加速转型，进而推动线下服务在经营方式和业态上不断创新发展。</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近日，我委会同有关部门印发了《近期扩内需促消费的工作方案》，引发各方面广泛关注，按照着力夯实内需特别是消费提质升级的基础，进一步提升供给动力、增强创新动力、加大改革动力的总体思路，提出了19条扩内需促销费的务实举措。下一步，顺应服务消费升级的趋势，国家发展改革委将会同相关部门进一步研究出台促进服务消费的新举措，积极发展“互联网+医疗健康”、数字智慧文旅、在线教育培训、智能体育等服务消费新模式，引导传统服务企业线上线下融合发展，进一步释放服务消费潜力。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封面新闻记者：</w:t>
      </w:r>
      <w:r>
        <w:rPr>
          <w:rFonts w:hint="eastAsia" w:ascii="Times New Roman" w:hAnsi="Times New Roman" w:eastAsia="方正仿宋_GBK" w:cs="方正仿宋_GBK"/>
          <w:sz w:val="30"/>
          <w:szCs w:val="30"/>
        </w:rPr>
        <w:t>中央“十四五”规划建议提出，将实施川藏铁路、西部陆海新通道等重大工程建设，请问国家发改委将为“十四五”重大基础设施工程提供哪些政策支持？</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按照“十四五”规划建议，“十四五”时期将实施川藏铁路、西部陆海新通道等一批重大工程，对补齐基础设施短板，促进形成强大国内市场和经济社会发展具有重要作用。国家发展改革委将会同有关方面，加强统筹谋划协调推动，合力保障“十四五”重大工程实施。</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一是加强规划引导。加快推动“十四五”规划研究编制，积极支持将符合条件的铁路项目纳入“十四五”现代综合交通运输体系以及铁路发展等专项规划。继续加快完善运输机场布局，提升枢纽机场综合保障能力，拟重点加快实施西安、兰州、西宁、深圳、福州、贵阳、海口、广州、重庆、长沙等枢纽机场改扩建工程，推进厦门新机场、大连新机场以及昆明等枢纽机场改扩建工程前期工作，推进建设一批支线机场。</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二是加强资金支持。按照党中央、国务院部署，支持有关方面强化川藏铁路建设资金保障。充分利用中央预算内投资、地方政府专项债等资金，创新投融资模式，鼓励社会资本积极参与，为西部陆海新通道建设提供资金保障。对于符合有关规定的铁路项目，我委将统筹研究安排中央预算内投资予以支持。继续给予中西部地区支线和西部干线机场的中央预算内资金支持，优先安排重大项目建设资金，确保项目顺利实施。</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三是加强协调调度。充分利用重大建设项目库等相关管理信息系统，对已安排中央预算内投资和正在开展前期工作的重大项目开展定期调度。支持有关部门、地方和企业加强沟通协作，加快推进西部陆海新通道、沿江高铁等重大项目建设，对列入“十四五”规划的重大项目开辟“绿色通道”，提高审批效率，为重大项目开工建设创造有利条件。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凤凰卫视记者：</w:t>
      </w:r>
      <w:r>
        <w:rPr>
          <w:rFonts w:hint="eastAsia" w:ascii="Times New Roman" w:hAnsi="Times New Roman" w:eastAsia="方正仿宋_GBK" w:cs="方正仿宋_GBK"/>
          <w:sz w:val="30"/>
          <w:szCs w:val="30"/>
        </w:rPr>
        <w:t>今年突如其来的疫情对推进“一带一路”倡议造成哪些影响，目前进展情况如何？将采取哪些措施进一步推进“一带一路”建设？</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你对共建“一带一路”倡议的关心。今年以来，新冠肺炎疫情全球大流行，使世界百年未有之大变局加速演进，世界经济发展中的不稳定不确定因素明显增多，对高质量推进“一带一路”建设带来新的挑战。但同时也要看到，得益于中国经济的迅速恢复和主动对外开放，以及过去7年打下的良好基础，今年以来，面对疫情冲击，共建“一带一路”合作呈现出十足韧性，不久前，又有一个国际组织与我国签署了共建“一带一路”合作文件。截至目前，我国已经与138个国家、31个国际组织签署201份共建“一带一路”合作文件，各方面工作取得积极进展。</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一是助力稳定外贸外资基本盘。今年前三季度，我与沿线国家贸易进出口总额9634.2亿美元，虽然同比下降1%，但增速比全国整体水平高0.8个百分点；对沿线国家非金融类直接投资达130.2亿美元，同比增长29.7%，高出全国整体增速32.3个百分点。</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二是重大项目取得新进展。中老铁路全线隧道实现贯通，中泰铁路一期线上工程合同达成一致，雅万高铁建设实现节点目标，匈塞铁路匈牙利段项目EPC主承包合同正式生效。巴基斯坦拉合尔橙线项目运营通车。</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三是中欧班列逆势增长。截至11月5日，今年中欧班列开行达10180列，已超过去年全年开行量，运送货物92.7万标箱，同比增长54%，往返综合重箱率达98.3%，运输网络持续拓展，已通达欧洲21个国家、92个城市。今年以来，共运送医疗物资近800万件，共计6万多吨，成为中欧之间抗疫合作的“生命通道”，为维护国际供应链产业链稳定提供了重要支撑。</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四是健康丝绸之路取得新突破。新冠肺炎疫情暴发以来，中国秉持人类命运共同体理念，积极履行国际义务，发挥全球抗疫物资最大供应国作用，向“一带一路”沿线国家提供力所能及的物资和技术援助，已向150多个国家和国际组织提供280多批紧急抗疫物资援助。随着数字经济新业态新模式蓬勃兴起和绿色经济发展，越来越多国家看到了健康丝绸之路与数字丝绸之路、绿色丝绸之路的合作机遇，相继参与到健康丝绸之路与数字丝绸之路、绿色丝绸之路共同建设之中。</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但同时也要看到，随着疫情全球蔓延，许多海运、空运货物加速向铁路运输转移，中欧班列运力增长赶不上需求增加。为促进中欧班列持续稳定安全运行，我委正会同有关部门、地方，全力提升中欧班列运能运力。一是加强重点口岸建设，对满洲里站、二连浩特站、阿拉山口站进行扩能改造，提高集装箱列车的接发、换装能力。二是推动中欧班列西、中、东通道“卡脖子”路段升级改造，积极开辟中欧班列境外新径路，推动运输通道多元化。三是加快中欧班列集结中心示范工程建设，支持完善集疏运设施，提高运输组织效率，努力做到“中转集结”“即到即发”。总之，中方将秉持共建共商共享，继续扎实推动“一带一路”建设，实现与相关国家的共同发展繁荣。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中国证券报记者：</w:t>
      </w:r>
      <w:r>
        <w:rPr>
          <w:rFonts w:hint="eastAsia" w:ascii="Times New Roman" w:hAnsi="Times New Roman" w:eastAsia="方正仿宋_GBK" w:cs="方正仿宋_GBK"/>
          <w:sz w:val="30"/>
          <w:szCs w:val="30"/>
        </w:rPr>
        <w:t>能否介绍一下目前企业债券注册发行的进展？在应对债务风险以及违约处置方面，将会有哪些新措施？</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国家发展改革委始终坚持把服务实体经济作为企业债券工作的出发点和落脚点，坚持企业债券发展与推进国家重大战略、重大规划落地有机结合，持续加大对经济发展关键领域、重点区域、社会民生领域补短板的融资支持力度，引导和撬动更多中长期、低成本的社会资金投向国民经济的重点领域和薄弱环节。</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今年3月，我委印发了关于企业债券发行实施注册制有关事项的通知，明确企业债券发行由核准制改为注册制，并指导受理和审核机构发布了《企业债券受理工作规则（试行）》和《企业债券审核工作规则（试行）》两个操作性规定。截至11月10日，今年已完成核准或注册企业债券8288.45亿元，完成发行4767.79亿元，均比去年同期实现正增长。目前，企业债券各项改革工作平稳推进，制度体系建设更加完善，申报审核效率持续提高，市场活力进一步激发。</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关于您关注的债务风险问题。目前，受国内外多种因素影响，债券市场防范化解重大风险面临一些新挑战。按照党中央、国务院关于防范化解重大风险的决策部署，国家发展改革委高度重视企业债券风险防范工作，始终将防范化解系统性金融风险放在重要位置，牢牢守住了不发生系统性金融风险的底线。总体看，企业债券的风险防范情况较好，今年未发生违约情况，累计违约率处于公司信用类债券的最低水平，违约处置率处于公司信用类债券的最高水平。下一步，在应对债务风险以及违约处置方面，将重点在三个方面加大工作力度。</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一是加强监管。充分发挥地方的属地管理优势，通过项目筛查、风险排查、监督检查等方式，做好区域内企业债券监管工作，防范化解企业债券领域风险。</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二是强化协同。加强公司信用类债券管理部门之间的沟通协调，构建高效的工作协同机制，加强信息披露、加强统一执法，完善制度建设，推动债券市场披露规则统一，共同防范化解债券市场潜在风险。</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三是抓早抓小。建立早识别、早预警、早发现、早处置的风险防控工作体系，提前了解风险、尽早处置风险。针对个别苗头性风险隐患，密切关注相关债券的付息兑付工作，督促制定化解方案，保护投资者合法权益。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中央人民广播电台-中国之声记者：</w:t>
      </w:r>
      <w:r>
        <w:rPr>
          <w:rFonts w:hint="eastAsia" w:ascii="Times New Roman" w:hAnsi="Times New Roman" w:eastAsia="方正仿宋_GBK" w:cs="方正仿宋_GBK"/>
          <w:sz w:val="30"/>
          <w:szCs w:val="30"/>
        </w:rPr>
        <w:t>我们注意到，上周发改委会同有关部门发布了关于在农业农村基础设施建设领域推广以工代赈的文件，请问这个文件在发挥以工代赈“赈”的方面有什么新举措？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方正黑体_GBK" w:hAnsi="方正黑体_GBK" w:eastAsia="方正黑体_GBK" w:cs="方正黑体_GBK"/>
          <w:sz w:val="30"/>
          <w:szCs w:val="30"/>
        </w:rPr>
        <w:t>孟玮：</w:t>
      </w:r>
      <w:r>
        <w:rPr>
          <w:rFonts w:hint="eastAsia" w:ascii="Times New Roman" w:hAnsi="Times New Roman" w:eastAsia="方正仿宋_GBK" w:cs="方正仿宋_GBK"/>
          <w:sz w:val="30"/>
          <w:szCs w:val="30"/>
        </w:rPr>
        <w:t>谢谢你的提问。以工代赈是通过组织农村群众参与工程建设获取劳务报酬，以取代直接赈济的一项帮扶政策。自1984年启动实施以来，以工代赈在改善农村生产生活条件、促进贫困群众就业增收、激发脱贫致富内生动力、促进农村经济社会和区域协调发展等方面，发挥了独特而重要的作用。</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今年以来，受新冠肺炎疫情和部分省份严重洪涝等自然灾害影响，农村群众就业和增收面临较大困难。为进一步推广以工代赈方式，扩大以工代赈规模，发挥以工代赈政策“赈”的作用，促进农村群众增加收入，国家发展改革委会同有关部门，联合印发了《关于在农业农村基础设施建设领域积极推广以工代赈方式的意见》，突出了4方面重点举措。</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一是扩大范围。将采取以工代赈方式实施项目的范围，全面拓展到农村生产生活基础设施、农村交通基础设施、水利基础设施、文化旅游基础设施、林业草原基础设施等5大领域，并作了进一步细化。比如，增加了灾毁水毁农村小型基础设施恢复重建，防止因灾致贫返贫。</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二是突出重点。要求各地积极谋划采取以工代赈方式实施的项目，广泛组织动员农村劳动力参与工程建设，优先吸纳脱贫不稳定户、边缘易致贫户、其他农村低收入群体参与工程建设，积极开展就业技能培训，并根据当地实际情况，合理确定劳务报酬标准，确保及时足额发放，尽量提高劳务报酬比例。</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三是保障投入。要求各地将符合条件的农业农村基础设施项目，按规定纳入地方政府专项债券和抗疫特别国债支持范围，在组织实施专项债券和抗疫特别国债项目时，大力推广以工代赈方式，多渠道扩大以工代赈实施规模。</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四是加强协同。要求各级政府建立由发展改革部门牵头，其他部门参与的沟通协调机制，明确责任分工，形成工作合力。同时，将这项工作纳入相关督促检查范围，对工作积极主动、成效明显的地方予以表扬激励。</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lang w:eastAsia="zh-CN"/>
        </w:rPr>
      </w:pPr>
      <w:r>
        <w:rPr>
          <w:rFonts w:hint="eastAsia" w:ascii="Times New Roman" w:hAnsi="Times New Roman" w:eastAsia="方正仿宋_GBK" w:cs="方正仿宋_GBK"/>
          <w:sz w:val="30"/>
          <w:szCs w:val="30"/>
        </w:rPr>
        <w:t>下一步，我委将会同有关部门，持续加大投入保障、督促指导、宣传推介工作力度，督促指导地方细化工作举措、压实工作责任、创新工作机制，及时总结地方推广以工代赈方式的典型经验做法，带动更多农村低收入群体实现就近就业增收，为巩固拓展脱贫攻坚成果、全面推进乡村振兴作出积极贡献。谢谢！</w:t>
      </w:r>
    </w:p>
    <w:p>
      <w:pPr>
        <w:keepNext w:val="0"/>
        <w:keepLines w:val="0"/>
        <w:pageBreakBefore w:val="0"/>
        <w:widowControl w:val="0"/>
        <w:kinsoku/>
        <w:wordWrap/>
        <w:overflowPunct/>
        <w:topLinePunct w:val="0"/>
        <w:autoSpaceDE/>
        <w:autoSpaceDN/>
        <w:bidi w:val="0"/>
        <w:adjustRightInd/>
        <w:snapToGrid/>
        <w:spacing w:line="588" w:lineRule="exact"/>
        <w:ind w:firstLine="600" w:firstLineChars="200"/>
        <w:textAlignment w:val="auto"/>
        <w:rPr>
          <w:rFonts w:hint="eastAsia" w:ascii="Times New Roman" w:hAnsi="Times New Roman" w:eastAsia="方正仿宋_GBK" w:cs="方正仿宋_GBK"/>
          <w:sz w:val="30"/>
          <w:szCs w:val="30"/>
        </w:rPr>
      </w:pPr>
      <w:r>
        <w:rPr>
          <w:rFonts w:hint="eastAsia" w:ascii="Times New Roman" w:hAnsi="Times New Roman" w:eastAsia="方正仿宋_GBK" w:cs="方正仿宋_GBK"/>
          <w:sz w:val="30"/>
          <w:szCs w:val="30"/>
        </w:rPr>
        <w:t>我们今天的发布会到此结束，谢谢各位记者朋友。</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E8"/>
    <w:rsid w:val="00CE37E8"/>
    <w:rsid w:val="1AF67877"/>
    <w:rsid w:val="77F6AAB5"/>
    <w:rsid w:val="ECEF5469"/>
    <w:rsid w:val="FADF6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2020-11-17T11:11:00Z</dcterms:created>
  <dc:creator>小鱼</dc:creator>
  <cp:lastModifiedBy>user</cp:lastModifiedBy>
  <dcterms:modified xsi:type="dcterms:W3CDTF">2020-11-17T11:27:01Z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