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pPr>
        <w:snapToGrid w:val="0"/>
        <w:spacing w:line="520" w:lineRule="exact"/>
        <w:jc w:val="center"/>
        <w:rPr>
          <w:rFonts w:ascii="Times New Roman" w:hAnsi="Times New Roman"/>
          <w:b/>
          <w:bCs/>
          <w:sz w:val="44"/>
          <w:szCs w:val="44"/>
        </w:rPr>
      </w:pP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sz w:val="32"/>
          <w:szCs w:val="32"/>
        </w:rPr>
      </w:pPr>
      <w:r>
        <w:rPr>
          <w:rFonts w:hint="eastAsia" w:ascii="仿宋_GB2312" w:eastAsia="仿宋_GB2312"/>
          <w:color w:val="auto"/>
          <w:sz w:val="32"/>
          <w:szCs w:val="32"/>
          <w:highlight w:val="none"/>
          <w:lang w:val="en" w:eastAsia="zh-CN"/>
        </w:rPr>
        <w:t>通榆县中和风电有限公司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仿宋_GB2312" w:hAnsi="仿宋_GB2312" w:eastAsia="仿宋_GB2312" w:cs="仿宋_GB2312"/>
          <w:sz w:val="32"/>
          <w:lang w:val="en-US" w:eastAsia="zh-CN"/>
        </w:rPr>
        <w:t>白城能投集团通榆30万千瓦风电项目</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eastAsia" w:ascii="仿宋_GB2312" w:eastAsia="仿宋_GB2312"/>
          <w:color w:val="auto"/>
          <w:sz w:val="32"/>
          <w:szCs w:val="32"/>
          <w:highlight w:val="none"/>
          <w:lang w:val="en" w:eastAsia="zh-CN"/>
        </w:rPr>
        <w:t>通榆县中和风电有限公司</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月</w:t>
      </w:r>
      <w:r>
        <w:rPr>
          <w:rFonts w:hint="default" w:ascii="Times New Roman" w:hAnsi="Times New Roman" w:eastAsia="仿宋_GB2312"/>
          <w:sz w:val="32"/>
          <w:szCs w:val="32"/>
          <w:lang w:val="en" w:eastAsia="zh-CN"/>
        </w:rPr>
        <w:t>3</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w:t>
      </w:r>
    </w:p>
    <w:p>
      <w:pPr>
        <w:snapToGrid w:val="0"/>
        <w:spacing w:line="520" w:lineRule="exact"/>
        <w:ind w:firstLine="640" w:firstLineChars="200"/>
        <w:rPr>
          <w:rFonts w:ascii="Times New Roman" w:hAnsi="Times New Roman" w:eastAsia="仿宋_GB2312"/>
          <w:sz w:val="32"/>
        </w:rPr>
      </w:pPr>
      <w:bookmarkStart w:id="0" w:name="_GoBack"/>
      <w:bookmarkEnd w:id="0"/>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12169996"/>
    <w:rsid w:val="1FF67359"/>
    <w:rsid w:val="2569652C"/>
    <w:rsid w:val="267B8EC6"/>
    <w:rsid w:val="2EDE7F6E"/>
    <w:rsid w:val="2FEC314F"/>
    <w:rsid w:val="35FDB557"/>
    <w:rsid w:val="36DF947C"/>
    <w:rsid w:val="37FF30C6"/>
    <w:rsid w:val="3ABE03BD"/>
    <w:rsid w:val="3EEADB3F"/>
    <w:rsid w:val="3FBA01F0"/>
    <w:rsid w:val="3FCD4838"/>
    <w:rsid w:val="3FEFC067"/>
    <w:rsid w:val="3FFBED82"/>
    <w:rsid w:val="4DEF0E04"/>
    <w:rsid w:val="4F73079C"/>
    <w:rsid w:val="54B74E6D"/>
    <w:rsid w:val="57D34D2A"/>
    <w:rsid w:val="57D97A74"/>
    <w:rsid w:val="57F5F9F4"/>
    <w:rsid w:val="5F391A81"/>
    <w:rsid w:val="5FFB6D2D"/>
    <w:rsid w:val="63FF40EA"/>
    <w:rsid w:val="6CFF916E"/>
    <w:rsid w:val="6D292694"/>
    <w:rsid w:val="6E6F4DED"/>
    <w:rsid w:val="7B1FFD2B"/>
    <w:rsid w:val="7B6747E5"/>
    <w:rsid w:val="7BBD18DF"/>
    <w:rsid w:val="7BFFE3CF"/>
    <w:rsid w:val="7F7D58EC"/>
    <w:rsid w:val="7FFCF8B2"/>
    <w:rsid w:val="9599E386"/>
    <w:rsid w:val="9D4B5CFF"/>
    <w:rsid w:val="9FBC8D33"/>
    <w:rsid w:val="A29FDBCC"/>
    <w:rsid w:val="B3773340"/>
    <w:rsid w:val="B39FBC76"/>
    <w:rsid w:val="BA7B23C6"/>
    <w:rsid w:val="BF7E3ED1"/>
    <w:rsid w:val="BFBFCB4F"/>
    <w:rsid w:val="CA3F9200"/>
    <w:rsid w:val="D7ED1786"/>
    <w:rsid w:val="DBEBF8B0"/>
    <w:rsid w:val="DEF26CBC"/>
    <w:rsid w:val="DF1DBBE0"/>
    <w:rsid w:val="DF7E97D2"/>
    <w:rsid w:val="E3B79AA1"/>
    <w:rsid w:val="E5BFF514"/>
    <w:rsid w:val="E7DF387E"/>
    <w:rsid w:val="E9FF86E1"/>
    <w:rsid w:val="ED5F1A12"/>
    <w:rsid w:val="EFCB5018"/>
    <w:rsid w:val="EFFFF4E0"/>
    <w:rsid w:val="F2EEB235"/>
    <w:rsid w:val="F7FF4C13"/>
    <w:rsid w:val="F87B56F9"/>
    <w:rsid w:val="FCF971ED"/>
    <w:rsid w:val="FD5C73B3"/>
    <w:rsid w:val="FD6BFB17"/>
    <w:rsid w:val="FE734873"/>
    <w:rsid w:val="FEEFC221"/>
    <w:rsid w:val="FEFBC6FB"/>
    <w:rsid w:val="FF4788E8"/>
    <w:rsid w:val="FF6F4836"/>
    <w:rsid w:val="FFADAEA9"/>
    <w:rsid w:val="FFB805B6"/>
    <w:rsid w:val="FFBF8A36"/>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89</TotalTime>
  <ScaleCrop>false</ScaleCrop>
  <LinksUpToDate>false</LinksUpToDate>
  <CharactersWithSpaces>1720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2022-01-04T00:50:00Z</dcterms:created>
  <dc:creator>sgcc</dc:creator>
  <cp:lastModifiedBy>liyang</cp:lastModifiedBy>
  <cp:lastPrinted>2024-12-31T12:28:00Z</cp:lastPrinted>
  <dcterms:modified xsi:type="dcterms:W3CDTF">2024-12-31T12:28:13Z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08F40B9F8D0A4DEC893FF87659478C92</vt:lpwstr>
  </property>
</Properties>
</file>