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0FA26">
      <w:pPr>
        <w:spacing w:before="0" w:after="0" w:line="600" w:lineRule="exact"/>
        <w:jc w:val="left"/>
      </w:pPr>
      <w:r>
        <w:rPr>
          <w:rFonts w:ascii="Times New Roman" w:hAnsi="Times New Roman" w:eastAsia="仿宋_GB2312"/>
          <w:b w:val="0"/>
          <w:bCs w:val="0"/>
          <w:sz w:val="28"/>
          <w:szCs w:val="28"/>
        </w:rPr>
        <w:t>附件2</w:t>
      </w:r>
    </w:p>
    <w:p w14:paraId="2E062F43">
      <w:pPr>
        <w:spacing w:before="0" w:after="0" w:line="600" w:lineRule="exact"/>
        <w:jc w:val="center"/>
      </w:pPr>
      <w:r>
        <w:rPr>
          <w:rFonts w:ascii="Times New Roman" w:hAnsi="Times New Roman" w:eastAsia="方正小标宋简体"/>
          <w:b w:val="0"/>
          <w:bCs w:val="0"/>
          <w:sz w:val="44"/>
          <w:szCs w:val="44"/>
        </w:rPr>
        <w:t>电力项目安全管理和质量管控事项告知书</w:t>
      </w:r>
    </w:p>
    <w:p w14:paraId="44860948">
      <w:pPr>
        <w:spacing w:before="0" w:after="0" w:line="600" w:lineRule="exact"/>
        <w:jc w:val="left"/>
        <w:rPr>
          <w:rFonts w:hint="eastAsia" w:ascii="仿宋" w:hAnsi="仿宋" w:eastAsia="仿宋" w:cs="仿宋"/>
        </w:rPr>
      </w:pPr>
      <w:r>
        <w:rPr>
          <w:rFonts w:hint="eastAsia" w:ascii="仿宋" w:hAnsi="仿宋" w:eastAsia="仿宋" w:cs="仿宋"/>
          <w:b w:val="0"/>
          <w:bCs w:val="0"/>
          <w:sz w:val="32"/>
          <w:szCs w:val="32"/>
        </w:rPr>
        <w:t>华能松原热电有限公司乾安分公司：</w:t>
      </w:r>
    </w:p>
    <w:p w14:paraId="56BBDD87">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为了进一步加强电力项目的安全管理，有效防范安全生产和质量事故，现就你单位华能乾安四海（二期）10万千瓦风电项目施工安全和质量管控应重点注意的事项告知如下。</w:t>
      </w:r>
    </w:p>
    <w:p w14:paraId="408044BF">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一、严格按照《安全生产法》（中华人民共和国主席令</w:t>
      </w:r>
    </w:p>
    <w:p w14:paraId="2626F8C5">
      <w:pPr>
        <w:spacing w:before="0" w:after="0" w:line="600" w:lineRule="exact"/>
        <w:jc w:val="both"/>
        <w:rPr>
          <w:rFonts w:hint="eastAsia" w:ascii="仿宋" w:hAnsi="仿宋" w:eastAsia="仿宋" w:cs="仿宋"/>
        </w:rPr>
      </w:pPr>
      <w:r>
        <w:rPr>
          <w:rFonts w:hint="eastAsia" w:ascii="仿宋" w:hAnsi="仿宋" w:eastAsia="仿宋" w:cs="仿宋"/>
          <w:b w:val="0"/>
          <w:bCs w:val="0"/>
          <w:sz w:val="32"/>
          <w:szCs w:val="32"/>
        </w:rPr>
        <w:t>第88号）、《电力安全生产监督管理办法》（国家发展和改革委员会令第21号）、《电力建设工程施工安全监督管理办法》（国家发展和改革委员会令第28号）和《电力建设工程施工安全管理导则》（NB/T10096-2018）等有关法律、法规和标准的规定和要求，切实落实企业安全生产主体责任。</w:t>
      </w:r>
    </w:p>
    <w:p w14:paraId="5FE7D21D">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二、应当按要求设置项目安全生产管理机构，配备安全</w:t>
      </w:r>
    </w:p>
    <w:p w14:paraId="1E9BFC01">
      <w:pPr>
        <w:spacing w:before="0" w:after="0" w:line="600" w:lineRule="exact"/>
        <w:jc w:val="both"/>
        <w:rPr>
          <w:rFonts w:hint="eastAsia" w:ascii="仿宋" w:hAnsi="仿宋" w:eastAsia="仿宋" w:cs="仿宋"/>
        </w:rPr>
      </w:pPr>
      <w:r>
        <w:rPr>
          <w:rFonts w:hint="eastAsia" w:ascii="仿宋" w:hAnsi="仿宋" w:eastAsia="仿宋" w:cs="仿宋"/>
          <w:b w:val="0"/>
          <w:bCs w:val="0"/>
          <w:sz w:val="32"/>
          <w:szCs w:val="32"/>
        </w:rPr>
        <w:t>生产管理人员。</w:t>
      </w:r>
    </w:p>
    <w:p w14:paraId="28A9659A">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三、应当开展安全生产教育培训。</w:t>
      </w:r>
    </w:p>
    <w:p w14:paraId="2534AF8B">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四、应当严格落实安全生产投入。</w:t>
      </w:r>
    </w:p>
    <w:p w14:paraId="0D278748">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五、应当按要求建立工程分包管控制度和措施，禁止施</w:t>
      </w:r>
    </w:p>
    <w:p w14:paraId="7B2835C6">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工单位转包或违法分包工程。</w:t>
      </w:r>
    </w:p>
    <w:p w14:paraId="78530C41">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六、应当组织开展安全风险管控和隐患排查治理工作。</w:t>
      </w:r>
    </w:p>
    <w:p w14:paraId="05483538">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七、应当严格落实应急管理及事故处置措施，及时如实</w:t>
      </w:r>
    </w:p>
    <w:p w14:paraId="426BE171">
      <w:pPr>
        <w:spacing w:before="0" w:after="0" w:line="600" w:lineRule="exact"/>
        <w:jc w:val="both"/>
        <w:rPr>
          <w:rFonts w:hint="eastAsia" w:ascii="仿宋" w:hAnsi="仿宋" w:eastAsia="仿宋" w:cs="仿宋"/>
        </w:rPr>
      </w:pPr>
      <w:r>
        <w:rPr>
          <w:rFonts w:hint="eastAsia" w:ascii="仿宋" w:hAnsi="仿宋" w:eastAsia="仿宋" w:cs="仿宋"/>
          <w:b w:val="0"/>
          <w:bCs w:val="0"/>
          <w:sz w:val="32"/>
          <w:szCs w:val="32"/>
        </w:rPr>
        <w:t>报告生产安全事故。</w:t>
      </w:r>
    </w:p>
    <w:p w14:paraId="278CEDAA">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八、严格按照《建设工程质量管理条例》（国务院令第</w:t>
      </w:r>
    </w:p>
    <w:p w14:paraId="335CEF86">
      <w:pPr>
        <w:spacing w:before="0" w:after="0" w:line="600" w:lineRule="exact"/>
        <w:jc w:val="both"/>
        <w:rPr>
          <w:rFonts w:hint="eastAsia" w:ascii="仿宋" w:hAnsi="仿宋" w:eastAsia="仿宋" w:cs="仿宋"/>
        </w:rPr>
      </w:pPr>
      <w:bookmarkStart w:id="0" w:name="_GoBack"/>
      <w:bookmarkEnd w:id="0"/>
      <w:r>
        <w:rPr>
          <w:rFonts w:hint="eastAsia" w:ascii="仿宋" w:hAnsi="仿宋" w:eastAsia="仿宋" w:cs="仿宋"/>
          <w:b w:val="0"/>
          <w:bCs w:val="0"/>
          <w:sz w:val="32"/>
          <w:szCs w:val="32"/>
        </w:rPr>
        <w:t>279号）和《国家能源局关于进一步明确电力建设工程质量监督机构业务工作的通知》（国能函安全〔2020〕39号）等有关文件的规定和要求，开工前必须办理工程质量监督注册手续，并做好工程质量管控各项工作。</w:t>
      </w:r>
    </w:p>
    <w:p w14:paraId="5E30FD48">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若发生违反上述事项的行为，有关部门将依照相关法律、法规和政策规定进行处罚，并将处罚信息纳入被处罚单位的信用记录。</w:t>
      </w:r>
    </w:p>
    <w:p w14:paraId="54580511">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告知人：吉林省发展和改革委员会</w:t>
      </w:r>
    </w:p>
    <w:p w14:paraId="0F25A9A9">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被告知单位：华能松原热电有限公司乾安分公司</w:t>
      </w:r>
    </w:p>
    <w:p w14:paraId="2054D309">
      <w:pPr>
        <w:spacing w:before="0" w:after="0" w:line="600" w:lineRule="exact"/>
        <w:jc w:val="right"/>
        <w:rPr>
          <w:rFonts w:hint="eastAsia" w:ascii="仿宋" w:hAnsi="仿宋" w:eastAsia="仿宋" w:cs="仿宋"/>
        </w:rPr>
      </w:pPr>
      <w:r>
        <w:rPr>
          <w:rFonts w:hint="eastAsia" w:ascii="仿宋" w:hAnsi="仿宋" w:eastAsia="仿宋" w:cs="仿宋"/>
          <w:b w:val="0"/>
          <w:bCs w:val="0"/>
          <w:sz w:val="32"/>
          <w:szCs w:val="32"/>
        </w:rPr>
        <w:t>2025年12月31日</w:t>
      </w:r>
    </w:p>
    <w:sectPr>
      <w:footerReference r:id="rId3" w:type="default"/>
      <w:pgSz w:w="11906" w:h="16838"/>
      <w:pgMar w:top="1900" w:right="1780" w:bottom="126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7ECFD">
    <w:pPr>
      <w:spacing w:line="240" w:lineRule="exact"/>
      <w:jc w:val="center"/>
    </w:pPr>
    <w:r>
      <w:rPr>
        <w:rFonts w:ascii="Times New Roman" w:eastAsia="宋体"/>
        <w:sz w:val="18"/>
        <w:szCs w:val="18"/>
      </w:rPr>
      <w:fldChar w:fldCharType="begin"/>
    </w:r>
    <w:r>
      <w:rPr>
        <w:rFonts w:ascii="Times New Roman" w:eastAsia="宋体"/>
        <w:sz w:val="18"/>
        <w:szCs w:val="18"/>
      </w:rPr>
      <w:instrText xml:space="preserve">PAGE</w:instrText>
    </w:r>
    <w:r>
      <w:rPr>
        <w:rFonts w:ascii="Times New Roman" w:eastAsia="宋体"/>
        <w:sz w:val="18"/>
        <w:szCs w:val="18"/>
      </w:rPr>
      <w:fldChar w:fldCharType="separate"/>
    </w:r>
    <w:r>
      <w:rPr>
        <w:rFonts w:ascii="Times New Roman" w:eastAsia="宋体"/>
        <w:sz w:val="18"/>
        <w:szCs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103C2486"/>
    <w:rsid w:val="79FA50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sz w:val="32"/>
      <w:szCs w:val="32"/>
    </w:rPr>
  </w:style>
  <w:style w:type="paragraph" w:styleId="2">
    <w:name w:val="heading 1"/>
    <w:next w:val="1"/>
    <w:qFormat/>
    <w:uiPriority w:val="0"/>
    <w:rPr>
      <w:rFonts w:ascii="Times New Roman" w:hAnsi="Times New Roman" w:eastAsia="仿宋_GB2312" w:cstheme="minorBidi"/>
      <w:color w:val="2E74B5"/>
      <w:sz w:val="32"/>
      <w:szCs w:val="32"/>
    </w:rPr>
  </w:style>
  <w:style w:type="paragraph" w:styleId="3">
    <w:name w:val="heading 2"/>
    <w:next w:val="1"/>
    <w:qFormat/>
    <w:uiPriority w:val="0"/>
    <w:rPr>
      <w:rFonts w:ascii="Times New Roman" w:hAnsi="Times New Roman" w:eastAsia="仿宋_GB2312" w:cstheme="minorBidi"/>
      <w:color w:val="2E74B5"/>
      <w:sz w:val="26"/>
      <w:szCs w:val="26"/>
    </w:rPr>
  </w:style>
  <w:style w:type="paragraph" w:styleId="4">
    <w:name w:val="heading 3"/>
    <w:next w:val="1"/>
    <w:qFormat/>
    <w:uiPriority w:val="0"/>
    <w:rPr>
      <w:rFonts w:ascii="Times New Roman" w:hAnsi="Times New Roman" w:eastAsia="仿宋_GB2312" w:cstheme="minorBidi"/>
      <w:color w:val="1F4D78"/>
      <w:sz w:val="24"/>
      <w:szCs w:val="24"/>
    </w:rPr>
  </w:style>
  <w:style w:type="paragraph" w:styleId="5">
    <w:name w:val="heading 4"/>
    <w:next w:val="1"/>
    <w:qFormat/>
    <w:uiPriority w:val="0"/>
    <w:rPr>
      <w:rFonts w:ascii="Times New Roman" w:hAnsi="Times New Roman" w:eastAsia="仿宋_GB2312" w:cstheme="minorBidi"/>
      <w:i/>
      <w:iCs/>
      <w:color w:val="2E74B5"/>
      <w:sz w:val="32"/>
      <w:szCs w:val="32"/>
    </w:rPr>
  </w:style>
  <w:style w:type="paragraph" w:styleId="6">
    <w:name w:val="heading 5"/>
    <w:next w:val="1"/>
    <w:qFormat/>
    <w:uiPriority w:val="0"/>
    <w:rPr>
      <w:rFonts w:ascii="Times New Roman" w:hAnsi="Times New Roman" w:eastAsia="仿宋_GB2312" w:cstheme="minorBidi"/>
      <w:color w:val="2E74B5"/>
      <w:sz w:val="32"/>
      <w:szCs w:val="32"/>
    </w:rPr>
  </w:style>
  <w:style w:type="paragraph" w:styleId="7">
    <w:name w:val="heading 6"/>
    <w:next w:val="1"/>
    <w:qFormat/>
    <w:uiPriority w:val="0"/>
    <w:rPr>
      <w:rFonts w:ascii="Times New Roman" w:hAnsi="Times New Roman" w:eastAsia="仿宋_GB2312" w:cstheme="minorBidi"/>
      <w:color w:val="1F4D78"/>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imes New Roman" w:hAnsi="Times New Roman" w:eastAsia="仿宋_GB2312" w:cstheme="minorBidi"/>
      <w:sz w:val="20"/>
      <w:szCs w:val="20"/>
    </w:rPr>
  </w:style>
  <w:style w:type="paragraph" w:styleId="9">
    <w:name w:val="Title"/>
    <w:qFormat/>
    <w:uiPriority w:val="0"/>
    <w:rPr>
      <w:rFonts w:ascii="Times New Roman" w:hAnsi="Times New Roman" w:eastAsia="仿宋_GB2312" w:cstheme="minorBidi"/>
      <w:sz w:val="56"/>
      <w:szCs w:val="56"/>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imes New Roman" w:hAnsi="Times New Roman" w:eastAsia="仿宋_GB2312" w:cstheme="minorBidi"/>
      <w:sz w:val="32"/>
      <w:szCs w:val="32"/>
    </w:rPr>
  </w:style>
  <w:style w:type="character" w:customStyle="1" w:styleId="15">
    <w:name w:val="Foot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630</Words>
  <Characters>658</Characters>
  <TotalTime>0</TotalTime>
  <ScaleCrop>false</ScaleCrop>
  <LinksUpToDate>false</LinksUpToDate>
  <CharactersWithSpaces>658</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2026-08-19T06:34:00Z</dcterms:created>
  <dc:creator>Un-named</dc:creator>
  <cp:lastModifiedBy>Mz</cp:lastModifiedBy>
  <dcterms:modified xsi:type="dcterms:W3CDTF">2026-08-19T06:46:49Z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eyJoZGlkIjoiNWU0ZDQ5NThhNGZkYWNmNmJkYWQ1ZWI2ZWFjOWU0MTMiLCJ1c2VySWQiOiIxMTU3Njc5NzA0In0=</vt:lpwstr>
  </property>
  <property fmtid="{D5CDD505-2E9C-101B-9397-08002B2CF9AE}" pid="3" name="KSOProductBuildVer">
    <vt:lpwstr>2052-12.1.0.28022</vt:lpwstr>
  </property>
  <property fmtid="{D5CDD505-2E9C-101B-9397-08002B2CF9AE}" pid="4" name="ICV">
    <vt:lpwstr>0C474E4505314D858A77DD4F27FBCD9A_12</vt:lpwstr>
  </property>
</Properties>
</file>